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CASE STUDY  /  FINANCIAL SERVICES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13263A"/>
          <w:sz w:val="48"/>
          <w:szCs w:val="48"/>
        </w:rPr>
        <w:t xml:space="preserve">West Coast Bank</w:t>
      </w:r>
    </w:p>
    <w:p>
      <w:pPr>
        <w:spacing w:after="240"/>
      </w:pPr>
      <w:r>
        <w:rPr>
          <w:rFonts w:ascii="Arial" w:cs="Arial" w:eastAsia="Arial" w:hAnsi="Arial"/>
          <w:color w:val="5B6470"/>
          <w:sz w:val="22"/>
          <w:szCs w:val="22"/>
        </w:rPr>
        <w:t xml:space="preserve">11 locations across San Francisco and Los Angeles counties</w:t>
      </w:r>
    </w:p>
    <w:p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Smarter targeting.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More efficient mail.</w:t>
      </w:r>
    </w:p>
    <w:tbl>
      <w:tblPr>
        <w:tblW w:type="dxa" w:w="100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53"/>
        <w:gridCol w:w="160"/>
        <w:gridCol w:w="3253"/>
        <w:gridCol w:w="160"/>
        <w:gridCol w:w="3253"/>
      </w:tblGrid>
      <w:tr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$0.292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COST PER HOUSEHOLD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161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IDENTIFIED RESPONDERS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3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CAMPAIGN DROPS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OBJECTIVE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The Campaign Objective</w:t>
      </w:r>
    </w:p>
    <w:p>
      <w:pPr>
        <w:spacing w:after="120" w:line="300"/>
      </w:pPr>
      <w:r>
        <w:rPr>
          <w:rFonts w:ascii="Arial" w:cs="Arial" w:eastAsia="Arial" w:hAnsi="Arial"/>
          <w:color w:val="5B6470"/>
          <w:sz w:val="21"/>
          <w:szCs w:val="21"/>
        </w:rPr>
        <w:t xml:space="preserve">Identify qualifying neighborhoods and optimize cost without sacrificing audience density.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40"/>
        <w:gridCol w:w="200"/>
        <w:gridCol w:w="4940"/>
      </w:tblGrid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01  Find the right neighborhoods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Use compiled demographic data to identify owner-occupied households and qualifying carrier routes.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02  Optimize the economics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Overlay target density on carrier-route maps; optimize data and postage to beat the $0.32 per-household goal.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263A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GOAL   $0.320</w:t>
            </w:r>
            <w:r>
              <w:rPr>
                <w:rFonts w:ascii="Arial" w:cs="Arial" w:eastAsia="Arial" w:hAnsi="Arial"/>
                <w:color w:val="8A99A8"/>
                <w:sz w:val="24"/>
                <w:szCs w:val="24"/>
              </w:rPr>
              <w:t xml:space="preserve">          |          </w:t>
            </w:r>
            <w:r>
              <w:rPr>
                <w:rFonts w:ascii="Arial" w:cs="Arial" w:eastAsia="Arial" w:hAnsi="Arial"/>
                <w:b/>
                <w:bCs/>
                <w:color w:val="F07022"/>
                <w:sz w:val="24"/>
                <w:szCs w:val="24"/>
              </w:rPr>
              <w:t xml:space="preserve">ACTUAL   $0.292</w:t>
            </w:r>
          </w:p>
        </w:tc>
      </w:tr>
    </w:tbl>
    <w:p>
      <w:pPr>
        <w:pageBreakBefore/>
        <w:spacing w:after="0"/>
      </w:pPr>
      <w:r>
        <w:rPr>
          <w:rFonts w:ascii="Arial" w:cs="Arial" w:eastAsia="Arial" w:hAnsi="Arial"/>
        </w:rPr>
        <w:t xml:space="preserve"/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AUDIENCE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Audience Strategy</w:t>
      </w:r>
    </w:p>
    <w:p>
      <w:pPr>
        <w:spacing w:after="120" w:line="300"/>
      </w:pPr>
      <w:r>
        <w:rPr>
          <w:rFonts w:ascii="Arial" w:cs="Arial" w:eastAsia="Arial" w:hAnsi="Arial"/>
          <w:color w:val="5B6470"/>
          <w:sz w:val="21"/>
          <w:szCs w:val="21"/>
        </w:rPr>
        <w:t xml:space="preserve">New homeowners with annual household incomes of $50K–$75K.</w:t>
      </w:r>
    </w:p>
    <w:p>
      <w:pPr>
        <w:pStyle w:val="Heading2"/>
        <w:spacing w:after="60" w:before="200"/>
      </w:pPr>
      <w:r>
        <w:rPr>
          <w:rFonts w:ascii="Arial" w:cs="Arial" w:eastAsia="Arial" w:hAnsi="Arial"/>
          <w:b/>
          <w:bCs/>
          <w:color w:val="13263A"/>
          <w:sz w:val="24"/>
          <w:szCs w:val="24"/>
        </w:rPr>
        <w:t xml:space="preserve">Hispanic Household Segments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880"/>
      </w:tblGrid>
      <w:tr>
        <w:trPr>
          <w:tblHeader/>
        </w:trPr>
        <w:tc>
          <w:tcPr>
            <w:tcW w:type="dxa" w:w="42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Segment</w:t>
            </w:r>
          </w:p>
        </w:tc>
        <w:tc>
          <w:tcPr>
            <w:tcW w:type="dxa" w:w="5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13263A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Language Preference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01  Assimilated</w:t>
            </w:r>
          </w:p>
        </w:tc>
        <w:tc>
          <w:tcPr>
            <w:tcW w:type="dxa" w:w="5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Primarily English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02  Bilingual English</w:t>
            </w:r>
          </w:p>
        </w:tc>
        <w:tc>
          <w:tcPr>
            <w:tcW w:type="dxa" w:w="5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Prefers English; some Spanish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03  Bilingual Spanish</w:t>
            </w:r>
          </w:p>
        </w:tc>
        <w:tc>
          <w:tcPr>
            <w:tcW w:type="dxa" w:w="5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Prefers Spanish; knows English</w:t>
            </w:r>
          </w:p>
        </w:tc>
      </w:tr>
      <w:tr>
        <w:trPr>
          <w:tblHeader w:val="off"/>
        </w:trPr>
        <w:tc>
          <w:tcPr>
            <w:tcW w:type="dxa" w:w="420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04  Unassimilated</w:t>
            </w:r>
          </w:p>
        </w:tc>
        <w:tc>
          <w:tcPr>
            <w:tcW w:type="dxa" w:w="5880"/>
            <w:tcBorders>
              <w:top w:val="single" w:color="D5DBE1" w:sz="4"/>
              <w:left w:val="none" w:color="FFFFFF" w:sz="0"/>
              <w:bottom w:val="single" w:color="D5DBE1" w:sz="4"/>
              <w:right w:val="none" w:color="FFFFFF" w:sz="0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13263A"/>
                <w:sz w:val="20"/>
                <w:szCs w:val="20"/>
              </w:rPr>
              <w:t xml:space="preserve">Primarily Spanish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b/>
          <w:bCs/>
          <w:color w:val="F07022"/>
          <w:sz w:val="18"/>
          <w:szCs w:val="18"/>
        </w:rPr>
        <w:t xml:space="preserve">ADDITIONAL FOCUS   </w:t>
      </w:r>
      <w:r>
        <w:rPr>
          <w:rFonts w:ascii="Arial" w:cs="Arial" w:eastAsia="Arial" w:hAnsi="Arial"/>
          <w:b/>
          <w:bCs/>
          <w:color w:val="13263A"/>
          <w:sz w:val="22"/>
          <w:szCs w:val="22"/>
        </w:rPr>
        <w:t xml:space="preserve">African American households</w:t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PROCESS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From Data to Delivery</w:t>
      </w:r>
    </w:p>
    <w:p>
      <w:pPr>
        <w:spacing w:after="120" w:line="300"/>
      </w:pPr>
      <w:r>
        <w:rPr>
          <w:rFonts w:ascii="Arial" w:cs="Arial" w:eastAsia="Arial" w:hAnsi="Arial"/>
          <w:color w:val="5B6470"/>
          <w:sz w:val="21"/>
          <w:szCs w:val="21"/>
        </w:rPr>
        <w:t xml:space="preserve">Translate household-level analysis into qualified, efficient full carrier routes.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40"/>
        <w:gridCol w:w="200"/>
        <w:gridCol w:w="4940"/>
      </w:tblGrid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01 / Analyze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Start with CCL and compiled household data.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02 / Qualify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Find low- to moderate-income neighborhoods matching the demographic model.</w:t>
            </w:r>
          </w:p>
        </w:tc>
      </w:tr>
      <w:tr>
        <w:trPr>
          <w:trHeight w:val="200" w:hRule="exact"/>
        </w:trPr>
        <w:tc>
          <w:tcPr>
            <w:tcW w:type="dxa" w:w="4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03 / Map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Identify Spanish-speaking households where possible and evaluate route densities.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40"/>
            <w:tcBorders>
              <w:top w:val="none" w:color="FFFFFF" w:sz="0"/>
              <w:left w:val="single" w:color="1A9AA0" w:sz="24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40"/>
              <w:bottom w:type="dxa" w:w="16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3263A"/>
                <w:sz w:val="22"/>
                <w:szCs w:val="22"/>
              </w:rPr>
              <w:t xml:space="preserve">04 / Convert</w:t>
            </w:r>
          </w:p>
          <w:p>
            <w:pPr>
              <w:spacing w:line="280"/>
            </w:pPr>
            <w:r>
              <w:rPr>
                <w:rFonts w:ascii="Arial" w:cs="Arial" w:eastAsia="Arial" w:hAnsi="Arial"/>
                <w:color w:val="5B6470"/>
                <w:sz w:val="20"/>
                <w:szCs w:val="20"/>
              </w:rPr>
              <w:t xml:space="preserve">Build full carrier routes in communities that meet targeting criteria.</w:t>
            </w:r>
          </w:p>
        </w:tc>
      </w:tr>
    </w:tbl>
    <w:p>
      <w:pPr>
        <w:pageBreakBefore/>
        <w:spacing w:after="0"/>
      </w:pPr>
      <w:r>
        <w:rPr>
          <w:rFonts w:ascii="Arial" w:cs="Arial" w:eastAsia="Arial" w:hAnsi="Arial"/>
        </w:rPr>
        <w:t xml:space="preserve"/>
      </w:r>
    </w:p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REACH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Geographic Reach</w:t>
      </w:r>
    </w:p>
    <w:p>
      <w:pPr>
        <w:spacing w:after="120" w:line="300"/>
      </w:pPr>
      <w:r>
        <w:rPr>
          <w:rFonts w:ascii="Arial" w:cs="Arial" w:eastAsia="Arial" w:hAnsi="Arial"/>
          <w:color w:val="5B6470"/>
          <w:sz w:val="21"/>
          <w:szCs w:val="21"/>
        </w:rPr>
        <w:t xml:space="preserve">Two major markets, with client ZIP codes expanded through recommended targeting.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60"/>
        <w:gridCol w:w="160"/>
        <w:gridCol w:w="4960"/>
      </w:tblGrid>
      <w:tr>
        <w:tc>
          <w:tcPr>
            <w:tcW w:type="dxa" w:w="4960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800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ALAMEDA COUNTY  —  18 client ZIP codes  •  24 recommended ZIP codes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4960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2,212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LOS ANGELES COUNTY  —  24 client ZIP codes  •  67 recommended ZIP codes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263A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265,881 HOUSEHOLDS</w:t>
            </w:r>
            <w:r>
              <w:rPr>
                <w:rFonts w:ascii="Arial" w:cs="Arial" w:eastAsia="Arial" w:hAnsi="Arial"/>
                <w:color w:val="F07022"/>
                <w:sz w:val="22"/>
                <w:szCs w:val="22"/>
              </w:rPr>
              <w:t xml:space="preserve">   •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4 CREATIVE VERSIONS</w:t>
            </w:r>
            <w:r>
              <w:rPr>
                <w:rFonts w:ascii="Arial" w:cs="Arial" w:eastAsia="Arial" w:hAnsi="Arial"/>
                <w:color w:val="F07022"/>
                <w:sz w:val="22"/>
                <w:szCs w:val="22"/>
              </w:rPr>
              <w:t xml:space="preserve">   • 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9 WEEKS</w:t>
            </w:r>
          </w:p>
        </w:tc>
      </w:tr>
    </w:tbl>
    <w:p>
      <w:pPr>
        <w:spacing w:after="60" w:before="360"/>
      </w:pPr>
      <w:r>
        <w:rPr>
          <w:rFonts w:ascii="Arial" w:cs="Arial" w:eastAsia="Arial" w:hAnsi="Arial"/>
          <w:b/>
          <w:bCs/>
          <w:color w:val="F07022"/>
          <w:spacing w:val="20"/>
          <w:sz w:val="18"/>
          <w:szCs w:val="18"/>
        </w:rPr>
        <w:t xml:space="preserve">RESULTS</w:t>
      </w:r>
    </w:p>
    <w:p>
      <w:pPr>
        <w:pStyle w:val="Heading1"/>
        <w:pBdr>
          <w:bottom w:val="single" w:color="1A9AA0" w:sz="12" w:space="6"/>
        </w:pBdr>
        <w:spacing w:after="80" w:before="0"/>
      </w:pPr>
      <w:r>
        <w:rPr>
          <w:rFonts w:ascii="Arial" w:cs="Arial" w:eastAsia="Arial" w:hAnsi="Arial"/>
          <w:b/>
          <w:bCs/>
          <w:color w:val="13263A"/>
          <w:sz w:val="34"/>
          <w:szCs w:val="34"/>
        </w:rPr>
        <w:t xml:space="preserve">Campaign Response</w:t>
      </w:r>
    </w:p>
    <w:p>
      <w:pPr>
        <w:spacing w:after="120" w:line="300"/>
      </w:pPr>
      <w:r>
        <w:rPr>
          <w:rFonts w:ascii="Arial" w:cs="Arial" w:eastAsia="Arial" w:hAnsi="Arial"/>
          <w:color w:val="5B6470"/>
          <w:sz w:val="21"/>
          <w:szCs w:val="21"/>
        </w:rPr>
        <w:t xml:space="preserve">Three equal drops of 88,527 households each.</w:t>
      </w:r>
    </w:p>
    <w:tbl>
      <w:tblPr>
        <w:tblW w:type="dxa" w:w="1007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53"/>
        <w:gridCol w:w="160"/>
        <w:gridCol w:w="3253"/>
        <w:gridCol w:w="160"/>
        <w:gridCol w:w="3253"/>
      </w:tblGrid>
      <w:tr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88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DROP 01  —  Identified responders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45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DROP 02  —  Identified responders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3253"/>
            <w:tcBorders>
              <w:top w:val="single" w:color="F07022" w:sz="24"/>
              <w:left w:val="none" w:color="FFFFFF" w:sz="0"/>
              <w:bottom w:val="none" w:color="FFFFFF" w:sz="0"/>
              <w:right w:val="none" w:color="FFFFFF" w:sz="0"/>
            </w:tcBorders>
            <w:shd w:fill="F2F5F7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07022"/>
                <w:sz w:val="40"/>
                <w:szCs w:val="40"/>
              </w:rPr>
              <w:t xml:space="preserve">28</w:t>
            </w:r>
          </w:p>
          <w:p>
            <w:r>
              <w:rPr>
                <w:rFonts w:ascii="Arial" w:cs="Arial" w:eastAsia="Arial" w:hAnsi="Arial"/>
                <w:color w:val="5B6470"/>
                <w:sz w:val="18"/>
                <w:szCs w:val="18"/>
              </w:rPr>
              <w:t xml:space="preserve">DROP 03  —  Identified responders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263A" w:color="auto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07022"/>
                <w:sz w:val="36"/>
                <w:szCs w:val="36"/>
              </w:rPr>
              <w:t xml:space="preserve">161</w:t>
            </w: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     TOTAL IDENTIFIED RESPONDERS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30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BE1" w:sz="4" w:space="6"/>
      </w:pBdr>
      <w:tabs>
        <w:tab w:val="right" w:pos="10080"/>
      </w:tabs>
    </w:pPr>
    <w:r>
      <w:rPr>
        <w:rFonts w:ascii="Arial" w:cs="Arial" w:eastAsia="Arial" w:hAnsi="Arial"/>
        <w:color w:val="5B6470"/>
        <w:spacing w:val="10"/>
        <w:sz w:val="16"/>
        <w:szCs w:val="16"/>
      </w:rPr>
      <w:t xml:space="preserve">TRINITY DIRECT  •  WEST COAST BANK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b/>
        <w:bCs/>
        <w:color w:val="1A9AA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9AA0" w:sz="8" w:space="6"/>
      </w:pBdr>
      <w:spacing w:after="120"/>
    </w:pPr>
    <w:r>
      <w:drawing>
        <wp:inline distT="0" distB="0" distL="0" distR="0">
          <wp:extent cx="1428750" cy="638175"/>
          <wp:effectExtent t="0" r="0" b="0" l="0"/>
          <wp:docPr id="1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7da215e1f1415578db667d8edfbca4462877c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West Coast Bank</dc:title>
  <dc:creator>Trinity Direct</dc:creator>
  <cp:lastModifiedBy>Un-named</cp:lastModifiedBy>
  <cp:revision>1</cp:revision>
  <dcterms:created xsi:type="dcterms:W3CDTF">2026-10-29T22:23:44.965Z</dcterms:created>
  <dcterms:modified xsi:type="dcterms:W3CDTF">2026-10-29T22:23:44.965Z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