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CASE STUDY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3263A"/>
          <w:sz w:val="48"/>
          <w:szCs w:val="48"/>
        </w:rPr>
        <w:t xml:space="preserve">National Fitness Company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263A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Tampa, FL  —  Club Re-Opening</w:t>
            </w:r>
          </w:p>
        </w:tc>
      </w:tr>
    </w:tbl>
    <w:p>
      <w:pPr>
        <w:spacing w:after="120" w:before="160"/>
        <w:jc w:val="center"/>
      </w:pPr>
      <w:r>
        <w:rPr>
          <w:rFonts w:ascii="Arial" w:cs="Arial" w:eastAsia="Arial" w:hAnsi="Arial"/>
          <w:b/>
          <w:bCs/>
          <w:color w:val="1A9AA0"/>
          <w:spacing w:val="20"/>
          <w:sz w:val="22"/>
          <w:szCs w:val="22"/>
        </w:rPr>
        <w:t xml:space="preserve">DIRECT MAIL CASE STUDY</w:t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CAMPAIGN OBJECTIVE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Client Goal &amp; Focus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40"/>
        <w:gridCol w:w="200"/>
        <w:gridCol w:w="4940"/>
      </w:tblGrid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Neighborhood identification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Identify full neighborhoods of qualifying households within the geographic parameters of the club location, based on target demographics.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Carrier-route qualification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Overlay target segment densities on a carrier-route map to identify the strongest fits. Prioritize full routes with at least 25% Spanish-speaking households.</w:t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b/>
          <w:bCs/>
          <w:color w:val="F07022"/>
          <w:sz w:val="18"/>
          <w:szCs w:val="18"/>
        </w:rPr>
        <w:t xml:space="preserve">TARGET CRITERIA   </w:t>
      </w:r>
      <w:r>
        <w:rPr>
          <w:rFonts w:ascii="Arial" w:cs="Arial" w:eastAsia="Arial" w:hAnsi="Arial"/>
          <w:b/>
          <w:bCs/>
          <w:color w:val="13263A"/>
          <w:sz w:val="18"/>
          <w:szCs w:val="18"/>
        </w:rPr>
        <w:t xml:space="preserve">Cuban and Spanish-speaking households  •  SFDU &amp; MFDU  •  Ages 25–55  •  Income $25k–$100k</w:t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AUDIENCE STRATEGY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Geographic &amp; Demographic Focus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40"/>
        <w:gridCol w:w="200"/>
        <w:gridCol w:w="4940"/>
      </w:tblGrid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Initial data pull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Compiled household data within a 0–10 mile radius of the club, with an initial mailing focus of 0–5 miles.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Qualified audience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The result netted a 20% makeup of the criteria. Geography was extended to 7.25 miles to qualify approximately 10,000 records.</w:t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b/>
          <w:bCs/>
          <w:color w:val="F07022"/>
          <w:sz w:val="18"/>
          <w:szCs w:val="18"/>
        </w:rPr>
        <w:t xml:space="preserve">FOCUS   </w:t>
      </w:r>
      <w:r>
        <w:rPr>
          <w:rFonts w:ascii="Arial" w:cs="Arial" w:eastAsia="Arial" w:hAnsi="Arial"/>
          <w:b/>
          <w:bCs/>
          <w:color w:val="1A9AA0"/>
          <w:sz w:val="18"/>
          <w:szCs w:val="18"/>
        </w:rPr>
        <w:t xml:space="preserve">Ages 25–55  /  Spanish-speaking and Cuban households</w:t>
      </w:r>
    </w:p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CAMPAIGN PERFORMANCE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Response Data</w:t>
      </w:r>
    </w:p>
    <w:p>
      <w:pPr>
        <w:spacing w:after="80"/>
      </w:pPr>
      <w:r>
        <w:rPr>
          <w:rFonts w:ascii="Arial" w:cs="Arial" w:eastAsia="Arial" w:hAnsi="Arial"/>
        </w:rPr>
        <w:t xml:space="preserve"/>
      </w:r>
    </w:p>
    <w:tbl>
      <w:tblPr>
        <w:tblW w:type="dxa" w:w="100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53"/>
        <w:gridCol w:w="160"/>
        <w:gridCol w:w="3253"/>
        <w:gridCol w:w="160"/>
        <w:gridCol w:w="3253"/>
      </w:tblGrid>
      <w:tr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10,087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Total mailed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$4,500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Budget allotted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21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Identified responders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</w:rPr>
        <w:t xml:space="preserve"/>
      </w:r>
    </w:p>
    <w:tbl>
      <w:tblPr>
        <w:tblW w:type="dxa" w:w="100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53"/>
        <w:gridCol w:w="160"/>
        <w:gridCol w:w="3253"/>
        <w:gridCol w:w="160"/>
        <w:gridCol w:w="3253"/>
      </w:tblGrid>
      <w:tr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16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Identified conversions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1A9AA0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$329.92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Estimated customer lifetime value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3263A"/>
                <w:sz w:val="40"/>
                <w:szCs w:val="40"/>
              </w:rPr>
              <w:t xml:space="preserve">$5,278.72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Total ROI on investment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B6470"/>
          <w:sz w:val="17"/>
          <w:szCs w:val="17"/>
        </w:rPr>
        <w:t xml:space="preserve">Responder percentage reported in source: 0.0021%</w:t>
      </w:r>
    </w:p>
    <w:sectPr>
      <w:headerReference w:type="default" r:id="rId6"/>
      <w:footerReference w:type="default" r:id="rId7"/>
      <w:pgSz w:w="12240" w:h="15840" w:orient="portrait"/>
      <w:pgMar w:top="130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BE1" w:sz="4" w:space="6"/>
      </w:pBdr>
      <w:tabs>
        <w:tab w:val="right" w:pos="10080"/>
      </w:tabs>
    </w:pPr>
    <w:r>
      <w:rPr>
        <w:rFonts w:ascii="Arial" w:cs="Arial" w:eastAsia="Arial" w:hAnsi="Arial"/>
        <w:color w:val="5B6470"/>
        <w:spacing w:val="10"/>
        <w:sz w:val="16"/>
        <w:szCs w:val="16"/>
      </w:rPr>
      <w:t xml:space="preserve">NATIONAL FITNESS COMPANY  •  TAMPA, FL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b/>
        <w:bCs/>
        <w:color w:val="1A9AA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9AA0" w:sz="8" w:space="6"/>
      </w:pBdr>
      <w:spacing w:after="120"/>
    </w:pPr>
    <w:r>
      <w:drawing>
        <wp:inline distT="0" distB="0" distL="0" distR="0">
          <wp:extent cx="1428750" cy="638175"/>
          <wp:effectExtent t="0" r="0" b="0" l="0"/>
          <wp:docPr id="1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7da215e1f1415578db667d8edfbca4462877c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National Fitness Company</dc:title>
  <dc:creator>Trinity Direct</dc:creator>
  <cp:lastModifiedBy>Un-named</cp:lastModifiedBy>
  <cp:revision>1</cp:revision>
  <dcterms:created xsi:type="dcterms:W3CDTF">2026-10-29T22:23:44.957Z</dcterms:created>
  <dcterms:modified xsi:type="dcterms:W3CDTF">2026-10-29T22:23:44.957Z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