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20"/>
      </w:pPr>
      <w:r>
        <w:rPr>
          <w:rFonts w:ascii="Arial" w:cs="Arial" w:eastAsia="Arial" w:hAnsi="Arial"/>
          <w:b/>
          <w:bCs/>
          <w:color w:val="F07022"/>
          <w:spacing w:val="20"/>
          <w:sz w:val="18"/>
          <w:szCs w:val="18"/>
        </w:rPr>
        <w:t xml:space="preserve">CASE STUDY</w:t>
      </w:r>
    </w:p>
    <w:p>
      <w:pPr>
        <w:spacing w:after="100"/>
      </w:pPr>
      <w:r>
        <w:rPr>
          <w:rFonts w:ascii="Arial" w:cs="Arial" w:eastAsia="Arial" w:hAnsi="Arial"/>
          <w:b/>
          <w:bCs/>
          <w:color w:val="13263A"/>
          <w:sz w:val="48"/>
          <w:szCs w:val="48"/>
        </w:rPr>
        <w:t xml:space="preserve">Major Power Tool Manufacturer and Retailer</w:t>
      </w:r>
    </w:p>
    <w:p>
      <w:pPr>
        <w:spacing w:after="240"/>
      </w:pPr>
      <w:r>
        <w:rPr>
          <w:rFonts w:ascii="Arial" w:cs="Arial" w:eastAsia="Arial" w:hAnsi="Arial"/>
          <w:color w:val="5B6470"/>
          <w:sz w:val="22"/>
          <w:szCs w:val="22"/>
        </w:rPr>
        <w:t xml:space="preserve">Direct Mail  /  Email  /  Response &amp; ROI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3263A" w:color="auto" w:val="clear"/>
            <w:tcMar>
              <w:top w:type="dxa" w:w="180"/>
              <w:left w:type="dxa" w:w="280"/>
              <w:bottom w:type="dxa" w:w="180"/>
              <w:right w:type="dxa" w:w="2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MID-ATLANTIC REGION</w:t>
            </w:r>
            <w:r>
              <w:rPr>
                <w:rFonts w:ascii="Arial" w:cs="Arial" w:eastAsia="Arial" w:hAnsi="Arial"/>
                <w:color w:val="F07022"/>
                <w:sz w:val="22"/>
                <w:szCs w:val="22"/>
              </w:rPr>
              <w:t xml:space="preserve">   • 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THREE-PHASE CAMPAIGN</w:t>
            </w:r>
          </w:p>
        </w:tc>
      </w:tr>
    </w:tbl>
    <w:p>
      <w:pPr>
        <w:spacing w:after="60" w:before="360"/>
      </w:pPr>
      <w:r>
        <w:rPr>
          <w:rFonts w:ascii="Arial" w:cs="Arial" w:eastAsia="Arial" w:hAnsi="Arial"/>
          <w:b/>
          <w:bCs/>
          <w:color w:val="F07022"/>
          <w:spacing w:val="20"/>
          <w:sz w:val="18"/>
          <w:szCs w:val="18"/>
        </w:rPr>
        <w:t xml:space="preserve">CAMPAIGN OVERVIEW</w:t>
      </w:r>
    </w:p>
    <w:p>
      <w:pPr>
        <w:pStyle w:val="Heading1"/>
        <w:pBdr>
          <w:bottom w:val="single" w:color="1A9AA0" w:sz="12" w:space="6"/>
        </w:pBdr>
        <w:spacing w:after="80" w:before="0"/>
      </w:pPr>
      <w:r>
        <w:rPr>
          <w:rFonts w:ascii="Arial" w:cs="Arial" w:eastAsia="Arial" w:hAnsi="Arial"/>
          <w:b/>
          <w:bCs/>
          <w:color w:val="13263A"/>
          <w:sz w:val="34"/>
          <w:szCs w:val="34"/>
        </w:rPr>
        <w:t xml:space="preserve">Major Power Tool Manufacturer</w:t>
      </w:r>
    </w:p>
    <w:p>
      <w:pPr>
        <w:spacing w:after="120" w:line="300"/>
      </w:pPr>
      <w:r>
        <w:rPr>
          <w:rFonts w:ascii="Arial" w:cs="Arial" w:eastAsia="Arial" w:hAnsi="Arial"/>
          <w:color w:val="5B6470"/>
          <w:sz w:val="21"/>
          <w:szCs w:val="21"/>
        </w:rPr>
        <w:t xml:space="preserve">A three-phase campaign in the Mid-Atlantic region combining direct mail and email, measured against verified sales matches, revenue and ROI.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40"/>
        <w:gridCol w:w="200"/>
        <w:gridCol w:w="4940"/>
      </w:tblGrid>
      <w:tr>
        <w:tc>
          <w:tcPr>
            <w:tcW w:type="dxa" w:w="4940"/>
            <w:tcBorders>
              <w:top w:val="none" w:color="FFFFFF" w:sz="0"/>
              <w:left w:val="single" w:color="1A9AA0" w:sz="24"/>
              <w:bottom w:val="none" w:color="FFFFFF" w:sz="0"/>
              <w:right w:val="none" w:color="FFFFFF" w:sz="0"/>
            </w:tcBorders>
            <w:shd w:fill="F2F5F7" w:color="auto" w:val="clear"/>
            <w:tcMar>
              <w:top w:type="dxa" w:w="160"/>
              <w:left w:type="dxa" w:w="240"/>
              <w:bottom w:type="dxa" w:w="16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3263A"/>
                <w:sz w:val="22"/>
                <w:szCs w:val="22"/>
              </w:rPr>
              <w:t xml:space="preserve">Phase 01  /  Direct Mail</w:t>
            </w:r>
          </w:p>
          <w:p>
            <w:pPr>
              <w:spacing w:line="280"/>
            </w:pPr>
            <w:r>
              <w:rPr>
                <w:rFonts w:ascii="Arial" w:cs="Arial" w:eastAsia="Arial" w:hAnsi="Arial"/>
                <w:color w:val="5B6470"/>
                <w:sz w:val="20"/>
                <w:szCs w:val="20"/>
              </w:rPr>
              <w:t xml:space="preserve">4-panel self-mailer with tipped-on Sales Agent card in English and Spanish, mailed to 10,791 businesses.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4940"/>
            <w:tcBorders>
              <w:top w:val="none" w:color="FFFFFF" w:sz="0"/>
              <w:left w:val="single" w:color="1A9AA0" w:sz="24"/>
              <w:bottom w:val="none" w:color="FFFFFF" w:sz="0"/>
              <w:right w:val="none" w:color="FFFFFF" w:sz="0"/>
            </w:tcBorders>
            <w:shd w:fill="F2F5F7" w:color="auto" w:val="clear"/>
            <w:tcMar>
              <w:top w:type="dxa" w:w="160"/>
              <w:left w:type="dxa" w:w="240"/>
              <w:bottom w:type="dxa" w:w="16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3263A"/>
                <w:sz w:val="22"/>
                <w:szCs w:val="22"/>
              </w:rPr>
              <w:t xml:space="preserve">Phase 02  /  Email</w:t>
            </w:r>
          </w:p>
          <w:p>
            <w:pPr>
              <w:spacing w:line="280"/>
            </w:pPr>
            <w:r>
              <w:rPr>
                <w:rFonts w:ascii="Arial" w:cs="Arial" w:eastAsia="Arial" w:hAnsi="Arial"/>
                <w:color w:val="5B6470"/>
                <w:sz w:val="20"/>
                <w:szCs w:val="20"/>
              </w:rPr>
              <w:t xml:space="preserve">Rich media B2B email blast to 4,545 businesses (3,553 purchased data, 992 client-supplied data).</w:t>
            </w:r>
          </w:p>
        </w:tc>
      </w:tr>
      <w:tr>
        <w:trPr>
          <w:trHeight w:val="200" w:hRule="exact"/>
        </w:trPr>
        <w:tc>
          <w:tcPr>
            <w:tcW w:type="dxa" w:w="4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4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4940"/>
            <w:tcBorders>
              <w:top w:val="none" w:color="FFFFFF" w:sz="0"/>
              <w:left w:val="single" w:color="1A9AA0" w:sz="24"/>
              <w:bottom w:val="none" w:color="FFFFFF" w:sz="0"/>
              <w:right w:val="none" w:color="FFFFFF" w:sz="0"/>
            </w:tcBorders>
            <w:shd w:fill="F2F5F7" w:color="auto" w:val="clear"/>
            <w:tcMar>
              <w:top w:type="dxa" w:w="160"/>
              <w:left w:type="dxa" w:w="240"/>
              <w:bottom w:type="dxa" w:w="16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3263A"/>
                <w:sz w:val="22"/>
                <w:szCs w:val="22"/>
              </w:rPr>
              <w:t xml:space="preserve">Phase 03  /  Direct Mail</w:t>
            </w:r>
          </w:p>
          <w:p>
            <w:pPr>
              <w:spacing w:line="280"/>
            </w:pPr>
            <w:r>
              <w:rPr>
                <w:rFonts w:ascii="Arial" w:cs="Arial" w:eastAsia="Arial" w:hAnsi="Arial"/>
                <w:color w:val="5B6470"/>
                <w:sz w:val="20"/>
                <w:szCs w:val="20"/>
              </w:rPr>
              <w:t xml:space="preserve">6 x 9 postcard mailed to 10,791 households.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4940"/>
            <w:tcBorders>
              <w:top w:val="none" w:color="FFFFFF" w:sz="0"/>
              <w:left w:val="single" w:color="1A9AA0" w:sz="24"/>
              <w:bottom w:val="none" w:color="FFFFFF" w:sz="0"/>
              <w:right w:val="none" w:color="FFFFFF" w:sz="0"/>
            </w:tcBorders>
            <w:shd w:fill="F2F5F7" w:color="auto" w:val="clear"/>
            <w:tcMar>
              <w:top w:type="dxa" w:w="160"/>
              <w:left w:type="dxa" w:w="240"/>
              <w:bottom w:type="dxa" w:w="16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3263A"/>
                <w:sz w:val="22"/>
                <w:szCs w:val="22"/>
              </w:rPr>
              <w:t xml:space="preserve">Results</w:t>
            </w:r>
          </w:p>
          <w:p>
            <w:pPr>
              <w:spacing w:line="280"/>
            </w:pPr>
            <w:r>
              <w:rPr>
                <w:rFonts w:ascii="Arial" w:cs="Arial" w:eastAsia="Arial" w:hAnsi="Arial"/>
                <w:color w:val="5B6470"/>
                <w:sz w:val="20"/>
                <w:szCs w:val="20"/>
              </w:rPr>
              <w:t xml:space="preserve">456 verified sales matches, a 4.23% response rate, and $163,900.94 net ROI.</w:t>
            </w:r>
          </w:p>
        </w:tc>
      </w:tr>
    </w:tbl>
    <w:p>
      <w:pPr>
        <w:pageBreakBefore/>
        <w:spacing w:after="0"/>
      </w:pPr>
      <w:r>
        <w:rPr>
          <w:rFonts w:ascii="Arial" w:cs="Arial" w:eastAsia="Arial" w:hAnsi="Arial"/>
        </w:rPr>
        <w:t xml:space="preserve"/>
      </w:r>
    </w:p>
    <w:p>
      <w:pPr>
        <w:spacing w:after="60" w:before="360"/>
      </w:pPr>
      <w:r>
        <w:rPr>
          <w:rFonts w:ascii="Arial" w:cs="Arial" w:eastAsia="Arial" w:hAnsi="Arial"/>
          <w:b/>
          <w:bCs/>
          <w:color w:val="F07022"/>
          <w:spacing w:val="20"/>
          <w:sz w:val="18"/>
          <w:szCs w:val="18"/>
        </w:rPr>
        <w:t xml:space="preserve">PHASE 01  /  DIRECT MAIL</w:t>
      </w:r>
    </w:p>
    <w:p>
      <w:pPr>
        <w:pStyle w:val="Heading1"/>
        <w:pBdr>
          <w:bottom w:val="single" w:color="1A9AA0" w:sz="12" w:space="6"/>
        </w:pBdr>
        <w:spacing w:after="80" w:before="0"/>
      </w:pPr>
      <w:r>
        <w:rPr>
          <w:rFonts w:ascii="Arial" w:cs="Arial" w:eastAsia="Arial" w:hAnsi="Arial"/>
          <w:b/>
          <w:bCs/>
          <w:color w:val="13263A"/>
          <w:sz w:val="34"/>
          <w:szCs w:val="34"/>
        </w:rPr>
        <w:t xml:space="preserve">4-Panel Self-Mailer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60"/>
        <w:gridCol w:w="160"/>
        <w:gridCol w:w="496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60"/>
              <w:jc w:val="center"/>
            </w:pPr>
            <w:r>
              <w:drawing>
                <wp:inline distT="0" distB="0" distL="0" distR="0">
                  <wp:extent cx="3105150" cy="2009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0" cy="2009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4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60"/>
              <w:jc w:val="center"/>
            </w:pPr>
            <w:r>
              <w:drawing>
                <wp:inline distT="0" distB="0" distL="0" distR="0">
                  <wp:extent cx="3105150" cy="2009775"/>
                  <wp:effectExtent t="0" r="0" b="0" l="0"/>
                  <wp:docPr id="2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0" cy="2009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60"/>
              <w:jc w:val="center"/>
            </w:pPr>
            <w:r>
              <w:drawing>
                <wp:inline distT="0" distB="0" distL="0" distR="0">
                  <wp:extent cx="3105150" cy="2009775"/>
                  <wp:effectExtent t="0" r="0" b="0" l="0"/>
                  <wp:docPr id="3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0" cy="2009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4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60"/>
              <w:jc w:val="center"/>
            </w:pPr>
            <w:r>
              <w:drawing>
                <wp:inline distT="0" distB="0" distL="0" distR="0">
                  <wp:extent cx="3105150" cy="2009775"/>
                  <wp:effectExtent t="0" r="0" b="0" l="0"/>
                  <wp:docPr id="4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0" cy="2009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60"/>
              <w:jc w:val="center"/>
            </w:pPr>
            <w:r>
              <w:drawing>
                <wp:inline distT="0" distB="0" distL="0" distR="0">
                  <wp:extent cx="3105150" cy="1943100"/>
                  <wp:effectExtent t="0" r="0" b="0" l="0"/>
                  <wp:docPr id="5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0" cy="194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4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60"/>
              <w:jc w:val="center"/>
            </w:pPr>
            <w:r>
              <w:drawing>
                <wp:inline distT="0" distB="0" distL="0" distR="0">
                  <wp:extent cx="3105150" cy="1943100"/>
                  <wp:effectExtent t="0" r="0" b="0" l="0"/>
                  <wp:docPr id="6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0" cy="194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00"/>
        <w:jc w:val="center"/>
      </w:pPr>
      <w:r>
        <w:rPr>
          <w:rFonts w:ascii="Arial" w:cs="Arial" w:eastAsia="Arial" w:hAnsi="Arial"/>
          <w:i/>
          <w:iCs/>
          <w:color w:val="13263A"/>
          <w:sz w:val="20"/>
          <w:szCs w:val="20"/>
        </w:rPr>
        <w:t xml:space="preserve">4 Panel Self-Mailer, with tipped on Sales Agent card in English and Spanish</w:t>
      </w:r>
    </w:p>
    <w:p>
      <w:pPr>
        <w:spacing w:after="160" w:before="0"/>
        <w:jc w:val="center"/>
      </w:pPr>
      <w:r>
        <w:rPr>
          <w:rFonts w:ascii="Arial" w:cs="Arial" w:eastAsia="Arial" w:hAnsi="Arial"/>
          <w:i/>
          <w:iCs/>
          <w:color w:val="13263A"/>
          <w:sz w:val="20"/>
          <w:szCs w:val="20"/>
        </w:rPr>
        <w:t xml:space="preserve">Total Mailing 10,791 Businesses</w:t>
      </w:r>
    </w:p>
    <w:p>
      <w:pPr>
        <w:pageBreakBefore/>
        <w:spacing w:after="0"/>
      </w:pPr>
      <w:r>
        <w:rPr>
          <w:rFonts w:ascii="Arial" w:cs="Arial" w:eastAsia="Arial" w:hAnsi="Arial"/>
        </w:rPr>
        <w:t xml:space="preserve"/>
      </w:r>
    </w:p>
    <w:p>
      <w:pPr>
        <w:spacing w:after="60" w:before="360"/>
      </w:pPr>
      <w:r>
        <w:rPr>
          <w:rFonts w:ascii="Arial" w:cs="Arial" w:eastAsia="Arial" w:hAnsi="Arial"/>
          <w:b/>
          <w:bCs/>
          <w:color w:val="F07022"/>
          <w:spacing w:val="20"/>
          <w:sz w:val="18"/>
          <w:szCs w:val="18"/>
        </w:rPr>
        <w:t xml:space="preserve">PHASE 02  /  EMAIL</w:t>
      </w:r>
    </w:p>
    <w:p>
      <w:pPr>
        <w:pStyle w:val="Heading1"/>
        <w:pBdr>
          <w:bottom w:val="single" w:color="1A9AA0" w:sz="12" w:space="6"/>
        </w:pBdr>
        <w:spacing w:after="80" w:before="0"/>
      </w:pPr>
      <w:r>
        <w:rPr>
          <w:rFonts w:ascii="Arial" w:cs="Arial" w:eastAsia="Arial" w:hAnsi="Arial"/>
          <w:b/>
          <w:bCs/>
          <w:color w:val="13263A"/>
          <w:sz w:val="34"/>
          <w:szCs w:val="34"/>
        </w:rPr>
        <w:t xml:space="preserve">Rich Media Email Blast</w:t>
      </w:r>
    </w:p>
    <w:p>
      <w:pPr>
        <w:spacing w:after="60"/>
        <w:jc w:val="center"/>
      </w:pPr>
      <w:r>
        <w:drawing>
          <wp:inline distT="0" distB="0" distL="0" distR="0">
            <wp:extent cx="3295650" cy="3000375"/>
            <wp:effectExtent t="0" r="0" b="0" l="0"/>
            <wp:docPr id="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00"/>
        <w:jc w:val="center"/>
      </w:pPr>
      <w:r>
        <w:rPr>
          <w:rFonts w:ascii="Arial" w:cs="Arial" w:eastAsia="Arial" w:hAnsi="Arial"/>
          <w:i/>
          <w:iCs/>
          <w:color w:val="13263A"/>
          <w:sz w:val="20"/>
          <w:szCs w:val="20"/>
        </w:rPr>
        <w:t xml:space="preserve">Rich Media E-mail Blast, B2B, to 4,545 Businesses</w:t>
      </w:r>
    </w:p>
    <w:p>
      <w:pPr>
        <w:spacing w:after="160" w:before="0"/>
        <w:jc w:val="center"/>
      </w:pPr>
      <w:r>
        <w:rPr>
          <w:rFonts w:ascii="Arial" w:cs="Arial" w:eastAsia="Arial" w:hAnsi="Arial"/>
          <w:i/>
          <w:iCs/>
          <w:color w:val="13263A"/>
          <w:sz w:val="20"/>
          <w:szCs w:val="20"/>
        </w:rPr>
        <w:t xml:space="preserve">3,553 purchased data, 992 Client-Supplied data</w:t>
      </w:r>
    </w:p>
    <w:p>
      <w:pPr>
        <w:spacing w:after="60" w:before="360"/>
      </w:pPr>
      <w:r>
        <w:rPr>
          <w:rFonts w:ascii="Arial" w:cs="Arial" w:eastAsia="Arial" w:hAnsi="Arial"/>
          <w:b/>
          <w:bCs/>
          <w:color w:val="F07022"/>
          <w:spacing w:val="20"/>
          <w:sz w:val="18"/>
          <w:szCs w:val="18"/>
        </w:rPr>
        <w:t xml:space="preserve">PHASE 03  /  DIRECT MAIL</w:t>
      </w:r>
    </w:p>
    <w:p>
      <w:pPr>
        <w:pStyle w:val="Heading1"/>
        <w:pBdr>
          <w:bottom w:val="single" w:color="1A9AA0" w:sz="12" w:space="6"/>
        </w:pBdr>
        <w:spacing w:after="80" w:before="0"/>
      </w:pPr>
      <w:r>
        <w:rPr>
          <w:rFonts w:ascii="Arial" w:cs="Arial" w:eastAsia="Arial" w:hAnsi="Arial"/>
          <w:b/>
          <w:bCs/>
          <w:color w:val="13263A"/>
          <w:sz w:val="34"/>
          <w:szCs w:val="34"/>
        </w:rPr>
        <w:t xml:space="preserve">6 x 9 Postcard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60"/>
        <w:gridCol w:w="160"/>
        <w:gridCol w:w="496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60"/>
              <w:jc w:val="center"/>
            </w:pPr>
            <w:r>
              <w:drawing>
                <wp:inline distT="0" distB="0" distL="0" distR="0">
                  <wp:extent cx="3105150" cy="2066925"/>
                  <wp:effectExtent t="0" r="0" b="0" l="0"/>
                  <wp:docPr id="8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0" cy="2066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4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60"/>
              <w:jc w:val="center"/>
            </w:pPr>
            <w:r>
              <w:drawing>
                <wp:inline distT="0" distB="0" distL="0" distR="0">
                  <wp:extent cx="3105150" cy="2066925"/>
                  <wp:effectExtent t="0" r="0" b="0" l="0"/>
                  <wp:docPr id="9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0" cy="2066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60" w:before="100"/>
        <w:jc w:val="center"/>
      </w:pPr>
      <w:r>
        <w:rPr>
          <w:rFonts w:ascii="Arial" w:cs="Arial" w:eastAsia="Arial" w:hAnsi="Arial"/>
          <w:i/>
          <w:iCs/>
          <w:color w:val="13263A"/>
          <w:sz w:val="20"/>
          <w:szCs w:val="20"/>
        </w:rPr>
        <w:t xml:space="preserve">6 x 9 Postcard, Mailed to 10,791 households</w:t>
      </w:r>
    </w:p>
    <w:p>
      <w:pPr>
        <w:pageBreakBefore/>
        <w:spacing w:after="0"/>
      </w:pPr>
      <w:r>
        <w:rPr>
          <w:rFonts w:ascii="Arial" w:cs="Arial" w:eastAsia="Arial" w:hAnsi="Arial"/>
        </w:rPr>
        <w:t xml:space="preserve"/>
      </w:r>
    </w:p>
    <w:p>
      <w:pPr>
        <w:spacing w:after="60" w:before="360"/>
      </w:pPr>
      <w:r>
        <w:rPr>
          <w:rFonts w:ascii="Arial" w:cs="Arial" w:eastAsia="Arial" w:hAnsi="Arial"/>
          <w:b/>
          <w:bCs/>
          <w:color w:val="F07022"/>
          <w:spacing w:val="20"/>
          <w:sz w:val="18"/>
          <w:szCs w:val="18"/>
        </w:rPr>
        <w:t xml:space="preserve">RESULTS</w:t>
      </w:r>
    </w:p>
    <w:p>
      <w:pPr>
        <w:pStyle w:val="Heading1"/>
        <w:pBdr>
          <w:bottom w:val="single" w:color="1A9AA0" w:sz="12" w:space="6"/>
        </w:pBdr>
        <w:spacing w:after="80" w:before="0"/>
      </w:pPr>
      <w:r>
        <w:rPr>
          <w:rFonts w:ascii="Arial" w:cs="Arial" w:eastAsia="Arial" w:hAnsi="Arial"/>
          <w:b/>
          <w:bCs/>
          <w:color w:val="13263A"/>
          <w:sz w:val="34"/>
          <w:szCs w:val="34"/>
        </w:rPr>
        <w:t xml:space="preserve">Campaign Response</w:t>
      </w:r>
    </w:p>
    <w:p>
      <w:pPr>
        <w:spacing w:after="80"/>
      </w:pPr>
      <w:r>
        <w:rPr>
          <w:rFonts w:ascii="Arial" w:cs="Arial" w:eastAsia="Arial" w:hAnsi="Arial"/>
        </w:rPr>
        <w:t xml:space="preserve"/>
      </w:r>
    </w:p>
    <w:tbl>
      <w:tblPr>
        <w:tblW w:type="dxa" w:w="1007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53"/>
        <w:gridCol w:w="160"/>
        <w:gridCol w:w="3253"/>
        <w:gridCol w:w="160"/>
        <w:gridCol w:w="3253"/>
      </w:tblGrid>
      <w:tr>
        <w:tc>
          <w:tcPr>
            <w:tcW w:type="dxa" w:w="3253"/>
            <w:tcBorders>
              <w:top w:val="single" w:color="1A9AA0" w:sz="24"/>
              <w:left w:val="none" w:color="FFFFFF" w:sz="0"/>
              <w:bottom w:val="none" w:color="FFFFFF" w:sz="0"/>
              <w:right w:val="none" w:color="FFFFFF" w:sz="0"/>
            </w:tcBorders>
            <w:shd w:fill="F2F5F7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3263A"/>
                <w:sz w:val="40"/>
                <w:szCs w:val="40"/>
              </w:rPr>
              <w:t xml:space="preserve">10,791</w:t>
            </w:r>
          </w:p>
          <w:p>
            <w:r>
              <w:rPr>
                <w:rFonts w:ascii="Arial" w:cs="Arial" w:eastAsia="Arial" w:hAnsi="Arial"/>
                <w:color w:val="5B6470"/>
                <w:sz w:val="18"/>
                <w:szCs w:val="18"/>
              </w:rPr>
              <w:t xml:space="preserve">TOTAL MAILED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3253"/>
            <w:tcBorders>
              <w:top w:val="single" w:color="1A9AA0" w:sz="24"/>
              <w:left w:val="none" w:color="FFFFFF" w:sz="0"/>
              <w:bottom w:val="none" w:color="FFFFFF" w:sz="0"/>
              <w:right w:val="none" w:color="FFFFFF" w:sz="0"/>
            </w:tcBorders>
            <w:shd w:fill="F2F5F7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3263A"/>
                <w:sz w:val="40"/>
                <w:szCs w:val="40"/>
              </w:rPr>
              <w:t xml:space="preserve">456</w:t>
            </w:r>
          </w:p>
          <w:p>
            <w:r>
              <w:rPr>
                <w:rFonts w:ascii="Arial" w:cs="Arial" w:eastAsia="Arial" w:hAnsi="Arial"/>
                <w:color w:val="5B6470"/>
                <w:sz w:val="18"/>
                <w:szCs w:val="18"/>
              </w:rPr>
              <w:t xml:space="preserve">VERIFIED SALES MATCHES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3253"/>
            <w:tcBorders>
              <w:top w:val="single" w:color="F07022" w:sz="24"/>
              <w:left w:val="none" w:color="FFFFFF" w:sz="0"/>
              <w:bottom w:val="none" w:color="FFFFFF" w:sz="0"/>
              <w:right w:val="none" w:color="FFFFFF" w:sz="0"/>
            </w:tcBorders>
            <w:shd w:fill="F2F5F7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3263A"/>
                <w:sz w:val="40"/>
                <w:szCs w:val="40"/>
              </w:rPr>
              <w:t xml:space="preserve">4.23%</w:t>
            </w:r>
          </w:p>
          <w:p>
            <w:r>
              <w:rPr>
                <w:rFonts w:ascii="Arial" w:cs="Arial" w:eastAsia="Arial" w:hAnsi="Arial"/>
                <w:color w:val="5B6470"/>
                <w:sz w:val="18"/>
                <w:szCs w:val="18"/>
              </w:rPr>
              <w:t xml:space="preserve">RESPONSE RATE</w:t>
            </w:r>
          </w:p>
        </w:tc>
      </w:tr>
    </w:tbl>
    <w:p>
      <w:pPr>
        <w:spacing w:after="60" w:before="360"/>
      </w:pPr>
      <w:r>
        <w:rPr>
          <w:rFonts w:ascii="Arial" w:cs="Arial" w:eastAsia="Arial" w:hAnsi="Arial"/>
          <w:b/>
          <w:bCs/>
          <w:color w:val="F07022"/>
          <w:spacing w:val="20"/>
          <w:sz w:val="18"/>
          <w:szCs w:val="18"/>
        </w:rPr>
        <w:t xml:space="preserve">RESULTS</w:t>
      </w:r>
    </w:p>
    <w:p>
      <w:pPr>
        <w:pStyle w:val="Heading1"/>
        <w:pBdr>
          <w:bottom w:val="single" w:color="1A9AA0" w:sz="12" w:space="6"/>
        </w:pBdr>
        <w:spacing w:after="80" w:before="0"/>
      </w:pPr>
      <w:r>
        <w:rPr>
          <w:rFonts w:ascii="Arial" w:cs="Arial" w:eastAsia="Arial" w:hAnsi="Arial"/>
          <w:b/>
          <w:bCs/>
          <w:color w:val="13263A"/>
          <w:sz w:val="34"/>
          <w:szCs w:val="34"/>
        </w:rPr>
        <w:t xml:space="preserve">Revenue vs. Expense</w:t>
      </w:r>
    </w:p>
    <w:p>
      <w:pPr>
        <w:spacing w:after="60"/>
      </w:pPr>
      <w:r>
        <w:rPr>
          <w:rFonts w:ascii="Arial" w:cs="Arial" w:eastAsia="Arial" w:hAnsi="Arial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2880"/>
        <w:gridCol w:w="2800"/>
      </w:tblGrid>
      <w:tr>
        <w:trPr>
          <w:tblHeader/>
        </w:trPr>
        <w:tc>
          <w:tcPr>
            <w:tcW w:type="dxa" w:w="4400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13263A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2880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13263A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Detail</w:t>
            </w:r>
          </w:p>
        </w:tc>
        <w:tc>
          <w:tcPr>
            <w:tcW w:type="dxa" w:w="2800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13263A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W w:type="dxa" w:w="4400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3263A"/>
                <w:sz w:val="20"/>
                <w:szCs w:val="20"/>
              </w:rPr>
              <w:t xml:space="preserve">Gross Revenue MSRP</w:t>
            </w:r>
          </w:p>
        </w:tc>
        <w:tc>
          <w:tcPr>
            <w:tcW w:type="dxa" w:w="2880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3263A"/>
                <w:sz w:val="20"/>
                <w:szCs w:val="20"/>
              </w:rPr>
              <w:t xml:space="preserve">$180,177.20</w:t>
            </w:r>
          </w:p>
        </w:tc>
      </w:tr>
      <w:tr>
        <w:trPr>
          <w:tblHeader w:val="off"/>
        </w:trPr>
        <w:tc>
          <w:tcPr>
            <w:tcW w:type="dxa" w:w="4400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>Marketing Expenses — Phase #1</w:t>
            </w:r>
          </w:p>
        </w:tc>
        <w:tc>
          <w:tcPr>
            <w:tcW w:type="dxa" w:w="2880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>Self-Mailer</w:t>
            </w:r>
          </w:p>
        </w:tc>
        <w:tc>
          <w:tcPr>
            <w:tcW w:type="dxa" w:w="2800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C0392B"/>
                <w:sz w:val="20"/>
                <w:szCs w:val="20"/>
              </w:rPr>
              <w:t xml:space="preserve">$9,630.84</w:t>
            </w:r>
          </w:p>
        </w:tc>
      </w:tr>
      <w:tr>
        <w:trPr>
          <w:tblHeader w:val="off"/>
        </w:trPr>
        <w:tc>
          <w:tcPr>
            <w:tcW w:type="dxa" w:w="4400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>Marketing Expenses — Phase #2</w:t>
            </w:r>
          </w:p>
        </w:tc>
        <w:tc>
          <w:tcPr>
            <w:tcW w:type="dxa" w:w="2880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>E-Mail Blast</w:t>
            </w:r>
          </w:p>
        </w:tc>
        <w:tc>
          <w:tcPr>
            <w:tcW w:type="dxa" w:w="2800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C0392B"/>
                <w:sz w:val="20"/>
                <w:szCs w:val="20"/>
              </w:rPr>
              <w:t xml:space="preserve">$1,750.00</w:t>
            </w:r>
          </w:p>
        </w:tc>
      </w:tr>
      <w:tr>
        <w:trPr>
          <w:tblHeader w:val="off"/>
        </w:trPr>
        <w:tc>
          <w:tcPr>
            <w:tcW w:type="dxa" w:w="4400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>Marketing Expenses — Phase #3</w:t>
            </w:r>
          </w:p>
        </w:tc>
        <w:tc>
          <w:tcPr>
            <w:tcW w:type="dxa" w:w="2880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>Postcard</w:t>
            </w:r>
          </w:p>
        </w:tc>
        <w:tc>
          <w:tcPr>
            <w:tcW w:type="dxa" w:w="2800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C0392B"/>
                <w:sz w:val="20"/>
                <w:szCs w:val="20"/>
              </w:rPr>
              <w:t xml:space="preserve">$4,895.42</w:t>
            </w:r>
          </w:p>
        </w:tc>
      </w:tr>
      <w:tr>
        <w:trPr>
          <w:tblHeader w:val="off"/>
        </w:trPr>
        <w:tc>
          <w:tcPr>
            <w:tcW w:type="dxa" w:w="4400"/>
            <w:tcBorders>
              <w:top w:val="single" w:color="13263A" w:sz="12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3263A"/>
                <w:sz w:val="20"/>
                <w:szCs w:val="20"/>
              </w:rPr>
              <w:t xml:space="preserve">Total Marketing Expenses</w:t>
            </w:r>
          </w:p>
        </w:tc>
        <w:tc>
          <w:tcPr>
            <w:tcW w:type="dxa" w:w="2880"/>
            <w:tcBorders>
              <w:top w:val="single" w:color="13263A" w:sz="12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3263A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13263A" w:sz="12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C0392B"/>
                <w:sz w:val="20"/>
                <w:szCs w:val="20"/>
              </w:rPr>
              <w:t xml:space="preserve">$16,276.26</w:t>
            </w:r>
          </w:p>
        </w:tc>
      </w:tr>
      <w:tr>
        <w:trPr>
          <w:tblHeader w:val="off"/>
        </w:trPr>
        <w:tc>
          <w:tcPr>
            <w:tcW w:type="dxa" w:w="4400"/>
            <w:tcBorders>
              <w:top w:val="single" w:color="13263A" w:sz="12"/>
              <w:left w:val="none" w:color="FFFFFF" w:sz="0"/>
              <w:bottom w:val="single" w:color="D5DBE1" w:sz="4"/>
              <w:right w:val="none" w:color="FFFFFF" w:sz="0"/>
            </w:tcBorders>
            <w:shd w:fill="E6F4F5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3263A"/>
                <w:sz w:val="20"/>
                <w:szCs w:val="20"/>
              </w:rPr>
              <w:t xml:space="preserve">Net ROI</w:t>
            </w:r>
          </w:p>
        </w:tc>
        <w:tc>
          <w:tcPr>
            <w:tcW w:type="dxa" w:w="2880"/>
            <w:tcBorders>
              <w:top w:val="single" w:color="13263A" w:sz="12"/>
              <w:left w:val="none" w:color="FFFFFF" w:sz="0"/>
              <w:bottom w:val="single" w:color="D5DBE1" w:sz="4"/>
              <w:right w:val="none" w:color="FFFFFF" w:sz="0"/>
            </w:tcBorders>
            <w:shd w:fill="E6F4F5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13263A" w:sz="12"/>
              <w:left w:val="none" w:color="FFFFFF" w:sz="0"/>
              <w:bottom w:val="single" w:color="D5DBE1" w:sz="4"/>
              <w:right w:val="none" w:color="FFFFFF" w:sz="0"/>
            </w:tcBorders>
            <w:shd w:fill="E6F4F5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3263A"/>
                <w:sz w:val="20"/>
                <w:szCs w:val="20"/>
              </w:rPr>
              <w:t xml:space="preserve">$163,900.94</w:t>
            </w:r>
          </w:p>
        </w:tc>
      </w:tr>
    </w:tbl>
    <w:p>
      <w:pPr>
        <w:spacing w:after="60" w:before="360"/>
      </w:pPr>
      <w:r>
        <w:rPr>
          <w:rFonts w:ascii="Arial" w:cs="Arial" w:eastAsia="Arial" w:hAnsi="Arial"/>
          <w:b/>
          <w:bCs/>
          <w:color w:val="F07022"/>
          <w:spacing w:val="20"/>
          <w:sz w:val="18"/>
          <w:szCs w:val="18"/>
        </w:rPr>
        <w:t xml:space="preserve">RESULTS</w:t>
      </w:r>
    </w:p>
    <w:p>
      <w:pPr>
        <w:pStyle w:val="Heading1"/>
        <w:pBdr>
          <w:bottom w:val="single" w:color="1A9AA0" w:sz="12" w:space="6"/>
        </w:pBdr>
        <w:spacing w:after="80" w:before="0"/>
      </w:pPr>
      <w:r>
        <w:rPr>
          <w:rFonts w:ascii="Arial" w:cs="Arial" w:eastAsia="Arial" w:hAnsi="Arial"/>
          <w:b/>
          <w:bCs/>
          <w:color w:val="13263A"/>
          <w:sz w:val="34"/>
          <w:szCs w:val="34"/>
        </w:rPr>
        <w:t xml:space="preserve">Response by Product</w:t>
      </w:r>
    </w:p>
    <w:p>
      <w:pPr>
        <w:spacing w:after="60"/>
      </w:pPr>
      <w:r>
        <w:rPr>
          <w:rFonts w:ascii="Arial" w:cs="Arial" w:eastAsia="Arial" w:hAnsi="Arial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13263A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Model</w:t>
            </w:r>
          </w:p>
        </w:tc>
        <w:tc>
          <w:tcPr>
            <w:tcW w:type="dxa" w:w="2016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13263A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Total # Sales</w:t>
            </w:r>
          </w:p>
        </w:tc>
        <w:tc>
          <w:tcPr>
            <w:tcW w:type="dxa" w:w="2016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13263A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MSRP</w:t>
            </w:r>
          </w:p>
        </w:tc>
        <w:tc>
          <w:tcPr>
            <w:tcW w:type="dxa" w:w="2016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13263A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% Resp of Total Mailed</w:t>
            </w:r>
          </w:p>
        </w:tc>
        <w:tc>
          <w:tcPr>
            <w:tcW w:type="dxa" w:w="2016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13263A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% of Total Responders</w:t>
            </w:r>
          </w:p>
        </w:tc>
      </w:tr>
      <w:tr>
        <w:trPr>
          <w:tblHeader w:val="off"/>
        </w:trPr>
        <w:tc>
          <w:tcPr>
            <w:tcW w:type="dxa" w:w="2016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>FS90R</w:t>
            </w:r>
          </w:p>
        </w:tc>
        <w:tc>
          <w:tcPr>
            <w:tcW w:type="dxa" w:w="2016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>226</w:t>
            </w:r>
          </w:p>
        </w:tc>
        <w:tc>
          <w:tcPr>
            <w:tcW w:type="dxa" w:w="2016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>$299.95</w:t>
            </w:r>
          </w:p>
        </w:tc>
        <w:tc>
          <w:tcPr>
            <w:tcW w:type="dxa" w:w="2016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>2.09%</w:t>
            </w:r>
          </w:p>
        </w:tc>
        <w:tc>
          <w:tcPr>
            <w:tcW w:type="dxa" w:w="2016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>49.56%</w:t>
            </w:r>
          </w:p>
        </w:tc>
      </w:tr>
      <w:tr>
        <w:trPr>
          <w:tblHeader w:val="off"/>
        </w:trPr>
        <w:tc>
          <w:tcPr>
            <w:tcW w:type="dxa" w:w="2016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>HS56C</w:t>
            </w:r>
          </w:p>
        </w:tc>
        <w:tc>
          <w:tcPr>
            <w:tcW w:type="dxa" w:w="2016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>30</w:t>
            </w:r>
          </w:p>
        </w:tc>
        <w:tc>
          <w:tcPr>
            <w:tcW w:type="dxa" w:w="2016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>$399.95</w:t>
            </w:r>
          </w:p>
        </w:tc>
        <w:tc>
          <w:tcPr>
            <w:tcW w:type="dxa" w:w="2016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>0.28%</w:t>
            </w:r>
          </w:p>
        </w:tc>
        <w:tc>
          <w:tcPr>
            <w:tcW w:type="dxa" w:w="2016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>6.58%</w:t>
            </w:r>
          </w:p>
        </w:tc>
      </w:tr>
      <w:tr>
        <w:trPr>
          <w:tblHeader w:val="off"/>
        </w:trPr>
        <w:tc>
          <w:tcPr>
            <w:tcW w:type="dxa" w:w="2016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>BR600</w:t>
            </w:r>
          </w:p>
        </w:tc>
        <w:tc>
          <w:tcPr>
            <w:tcW w:type="dxa" w:w="2016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>192</w:t>
            </w:r>
          </w:p>
        </w:tc>
        <w:tc>
          <w:tcPr>
            <w:tcW w:type="dxa" w:w="2016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>$499.95</w:t>
            </w:r>
          </w:p>
        </w:tc>
        <w:tc>
          <w:tcPr>
            <w:tcW w:type="dxa" w:w="2016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>1.78%</w:t>
            </w:r>
          </w:p>
        </w:tc>
        <w:tc>
          <w:tcPr>
            <w:tcW w:type="dxa" w:w="2016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>42.11%</w:t>
            </w:r>
          </w:p>
        </w:tc>
      </w:tr>
      <w:tr>
        <w:trPr>
          <w:tblHeader w:val="off"/>
        </w:trPr>
        <w:tc>
          <w:tcPr>
            <w:tcW w:type="dxa" w:w="2016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>BR450C</w:t>
            </w:r>
          </w:p>
        </w:tc>
        <w:tc>
          <w:tcPr>
            <w:tcW w:type="dxa" w:w="2016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>8</w:t>
            </w:r>
          </w:p>
        </w:tc>
        <w:tc>
          <w:tcPr>
            <w:tcW w:type="dxa" w:w="2016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>$549.95</w:t>
            </w:r>
          </w:p>
        </w:tc>
        <w:tc>
          <w:tcPr>
            <w:tcW w:type="dxa" w:w="2016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>0.08%</w:t>
            </w:r>
          </w:p>
        </w:tc>
        <w:tc>
          <w:tcPr>
            <w:tcW w:type="dxa" w:w="2016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>1.75%</w:t>
            </w:r>
          </w:p>
        </w:tc>
      </w:tr>
      <w:tr>
        <w:trPr>
          <w:tblHeader w:val="off"/>
        </w:trPr>
        <w:tc>
          <w:tcPr>
            <w:tcW w:type="dxa" w:w="2016"/>
            <w:tcBorders>
              <w:top w:val="single" w:color="13263A" w:sz="12"/>
              <w:left w:val="none" w:color="FFFFFF" w:sz="0"/>
              <w:bottom w:val="single" w:color="D5DBE1" w:sz="4"/>
              <w:right w:val="none" w:color="FFFFFF" w:sz="0"/>
            </w:tcBorders>
            <w:shd w:fill="E6F4F5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3263A"/>
                <w:sz w:val="20"/>
                <w:szCs w:val="20"/>
              </w:rPr>
              <w:t xml:space="preserve">Total</w:t>
            </w:r>
          </w:p>
        </w:tc>
        <w:tc>
          <w:tcPr>
            <w:tcW w:type="dxa" w:w="2016"/>
            <w:tcBorders>
              <w:top w:val="single" w:color="13263A" w:sz="12"/>
              <w:left w:val="none" w:color="FFFFFF" w:sz="0"/>
              <w:bottom w:val="single" w:color="D5DBE1" w:sz="4"/>
              <w:right w:val="none" w:color="FFFFFF" w:sz="0"/>
            </w:tcBorders>
            <w:shd w:fill="E6F4F5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3263A"/>
                <w:sz w:val="20"/>
                <w:szCs w:val="20"/>
              </w:rPr>
              <w:t xml:space="preserve">456</w:t>
            </w:r>
          </w:p>
        </w:tc>
        <w:tc>
          <w:tcPr>
            <w:tcW w:type="dxa" w:w="2016"/>
            <w:tcBorders>
              <w:top w:val="single" w:color="13263A" w:sz="12"/>
              <w:left w:val="none" w:color="FFFFFF" w:sz="0"/>
              <w:bottom w:val="single" w:color="D5DBE1" w:sz="4"/>
              <w:right w:val="none" w:color="FFFFFF" w:sz="0"/>
            </w:tcBorders>
            <w:shd w:fill="E6F4F5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/>
            </w:r>
          </w:p>
        </w:tc>
        <w:tc>
          <w:tcPr>
            <w:tcW w:type="dxa" w:w="2016"/>
            <w:tcBorders>
              <w:top w:val="single" w:color="13263A" w:sz="12"/>
              <w:left w:val="none" w:color="FFFFFF" w:sz="0"/>
              <w:bottom w:val="single" w:color="D5DBE1" w:sz="4"/>
              <w:right w:val="none" w:color="FFFFFF" w:sz="0"/>
            </w:tcBorders>
            <w:shd w:fill="E6F4F5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3263A"/>
                <w:sz w:val="20"/>
                <w:szCs w:val="20"/>
              </w:rPr>
              <w:t xml:space="preserve">4.23%</w:t>
            </w:r>
          </w:p>
        </w:tc>
        <w:tc>
          <w:tcPr>
            <w:tcW w:type="dxa" w:w="2016"/>
            <w:tcBorders>
              <w:top w:val="single" w:color="13263A" w:sz="12"/>
              <w:left w:val="none" w:color="FFFFFF" w:sz="0"/>
              <w:bottom w:val="single" w:color="D5DBE1" w:sz="4"/>
              <w:right w:val="none" w:color="FFFFFF" w:sz="0"/>
            </w:tcBorders>
            <w:shd w:fill="E6F4F5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3263A"/>
                <w:sz w:val="20"/>
                <w:szCs w:val="20"/>
              </w:rPr>
              <w:t xml:space="preserve">100.00%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30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5DBE1" w:sz="4" w:space="6"/>
      </w:pBdr>
      <w:tabs>
        <w:tab w:val="right" w:pos="10080"/>
      </w:tabs>
    </w:pPr>
    <w:r>
      <w:rPr>
        <w:rFonts w:ascii="Arial" w:cs="Arial" w:eastAsia="Arial" w:hAnsi="Arial"/>
        <w:color w:val="5B6470"/>
        <w:spacing w:val="10"/>
        <w:sz w:val="16"/>
        <w:szCs w:val="16"/>
      </w:rPr>
      <w:t xml:space="preserve">TRINITY DIRECT  |  CASE STUDY</w:t>
    </w:r>
    <w:r>
      <w:rPr>
        <w:rFonts w:ascii="Arial" w:cs="Arial" w:eastAsia="Arial" w:hAnsi="Arial"/>
        <w:sz w:val="16"/>
        <w:szCs w:val="16"/>
      </w:rPr>
      <w:t xml:space="preserve">	</w:t>
    </w:r>
    <w:r>
      <w:rPr>
        <w:rFonts w:ascii="Arial" w:cs="Arial" w:eastAsia="Arial" w:hAnsi="Arial"/>
        <w:b/>
        <w:bCs/>
        <w:color w:val="1A9AA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A9AA0" w:sz="8" w:space="6"/>
      </w:pBdr>
      <w:spacing w:after="120"/>
    </w:pPr>
    <w:r>
      <w:drawing>
        <wp:inline distT="0" distB="0" distL="0" distR="0">
          <wp:extent cx="1428750" cy="638175"/>
          <wp:effectExtent t="0" r="0" b="0" l="0"/>
          <wp:docPr id="10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638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9732a6fe56148e974e8aabde6cec1f88647669a9.jpg"/><Relationship Id="rId10" Type="http://schemas.openxmlformats.org/officeDocument/2006/relationships/image" Target="media/9193ae2b3104d5b8f1e492e0e63a4276b09abb62.jpg"/><Relationship Id="rId11" Type="http://schemas.openxmlformats.org/officeDocument/2006/relationships/image" Target="media/1b2ac11579bb09b44682594467b336437c4d0314.jpg"/><Relationship Id="rId12" Type="http://schemas.openxmlformats.org/officeDocument/2006/relationships/image" Target="media/5861daf2bfd2b1f7b0ef033ae6a86cf7b7b9a200.jpg"/><Relationship Id="rId13" Type="http://schemas.openxmlformats.org/officeDocument/2006/relationships/image" Target="media/659f91435cd42defc1e557dc81cca46606821c71.jpg"/><Relationship Id="rId14" Type="http://schemas.openxmlformats.org/officeDocument/2006/relationships/image" Target="media/cb5da219f719b382f2a1011eeec3c34c3ecd10d1.jpg"/><Relationship Id="rId15" Type="http://schemas.openxmlformats.org/officeDocument/2006/relationships/image" Target="media/5395657a28b18411e7401311d76afca6fa0a1c71.jpg"/><Relationship Id="rId16" Type="http://schemas.openxmlformats.org/officeDocument/2006/relationships/image" Target="media/67c6b8c68dc957df65926c5159c543ea11392150.jpg"/><Relationship Id="rId17" Type="http://schemas.openxmlformats.org/officeDocument/2006/relationships/image" Target="media/ef03f541d4bff46a0ebc259f17a1e349f4260cb0.jp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7da215e1f1415578db667d8edfbca4462877c1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Major Power Tool Manufacturer and Retailer</dc:title>
  <dc:creator>Trinity Direct</dc:creator>
  <cp:lastModifiedBy>Un-named</cp:lastModifiedBy>
  <cp:revision>1</cp:revision>
  <dcterms:created xsi:type="dcterms:W3CDTF">2026-10-29T22:23:44.938Z</dcterms:created>
  <dcterms:modified xsi:type="dcterms:W3CDTF">2026-10-29T22:23:44.944Z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